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D40E91">
        <w:rPr>
          <w:rFonts w:asciiTheme="minorHAnsi" w:hAnsiTheme="minorHAnsi"/>
          <w:b/>
          <w:color w:val="000000" w:themeColor="text1"/>
          <w:sz w:val="24"/>
          <w:szCs w:val="24"/>
        </w:rPr>
        <w:t xml:space="preserve">– </w:t>
      </w:r>
      <w:r w:rsidR="00EC2FDE" w:rsidRPr="00EC2FDE">
        <w:rPr>
          <w:rFonts w:asciiTheme="minorHAnsi" w:hAnsiTheme="minorHAnsi"/>
          <w:b/>
          <w:sz w:val="24"/>
          <w:szCs w:val="24"/>
          <w:highlight w:val="yellow"/>
        </w:rPr>
        <w:t>Amended</w:t>
      </w:r>
      <w:r w:rsidR="00D40E91" w:rsidRPr="00EC2FDE">
        <w:rPr>
          <w:rFonts w:asciiTheme="minorHAnsi" w:hAnsiTheme="minorHAnsi"/>
          <w:b/>
          <w:color w:val="FF0000"/>
          <w:sz w:val="24"/>
          <w:szCs w:val="24"/>
        </w:rPr>
        <w:t xml:space="preserve"> </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C3FA0">
        <w:rPr>
          <w:rFonts w:asciiTheme="minorHAnsi" w:hAnsiTheme="minorHAnsi" w:cs="Arial"/>
          <w:b/>
          <w:lang w:val="en-ZA"/>
        </w:rPr>
        <w:t>21</w:t>
      </w:r>
      <w:r>
        <w:rPr>
          <w:rFonts w:asciiTheme="minorHAnsi" w:hAnsiTheme="minorHAnsi" w:cs="Arial"/>
          <w:b/>
          <w:lang w:val="en-ZA"/>
        </w:rPr>
        <w:t xml:space="preserve"> May 2019</w:t>
      </w:r>
    </w:p>
    <w:p w:rsidR="004D5A76" w:rsidRDefault="004D5A76" w:rsidP="007F4679">
      <w:pPr>
        <w:spacing w:line="312" w:lineRule="auto"/>
        <w:jc w:val="both"/>
        <w:rPr>
          <w:rFonts w:asciiTheme="minorHAnsi" w:hAnsiTheme="minorHAnsi" w:cs="Arial"/>
          <w:b/>
          <w:lang w:val="en-ZA"/>
        </w:rPr>
      </w:pPr>
    </w:p>
    <w:p w:rsidR="00166E80" w:rsidRPr="005A083D" w:rsidRDefault="00166E80" w:rsidP="00166E8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166E80" w:rsidRPr="00F64748" w:rsidRDefault="00166E80" w:rsidP="007F4679">
      <w:pPr>
        <w:spacing w:line="312" w:lineRule="auto"/>
        <w:jc w:val="both"/>
        <w:rPr>
          <w:rFonts w:asciiTheme="minorHAnsi" w:hAnsiTheme="minorHAnsi" w:cs="Arial"/>
          <w:b/>
          <w:lang w:val="en-ZA"/>
        </w:rPr>
      </w:pPr>
    </w:p>
    <w:p w:rsidR="007F4679" w:rsidRPr="00F64748"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Pr="00F64748">
        <w:rPr>
          <w:rFonts w:asciiTheme="minorHAnsi" w:hAnsiTheme="minorHAnsi" w:cs="Arial"/>
          <w:lang w:val="en-ZA"/>
        </w:rPr>
        <w:t>New Financial Instrument Listing</w:t>
      </w:r>
      <w:r w:rsidRPr="00F64748">
        <w:rPr>
          <w:rFonts w:asciiTheme="minorHAnsi" w:hAnsiTheme="minorHAnsi" w:cs="Arial"/>
          <w:lang w:val="en-ZA"/>
        </w:rPr>
        <w:tab/>
      </w:r>
    </w:p>
    <w:p w:rsidR="007F4679" w:rsidRPr="00F64748" w:rsidRDefault="007F4679" w:rsidP="007F4679">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FIRSTRAND BANK LIMITED</w:t>
      </w:r>
      <w:r w:rsidR="003C62DA">
        <w:rPr>
          <w:rFonts w:asciiTheme="minorHAnsi" w:hAnsiTheme="minorHAnsi" w:cs="Arial"/>
          <w:b/>
          <w:i/>
          <w:lang w:val="en-ZA"/>
        </w:rPr>
        <w:t xml:space="preserve"> </w:t>
      </w:r>
      <w:r w:rsidRPr="00F64748">
        <w:rPr>
          <w:rFonts w:asciiTheme="minorHAnsi" w:hAnsiTheme="minorHAnsi" w:cs="Arial"/>
          <w:b/>
          <w:i/>
          <w:lang w:val="en-ZA"/>
        </w:rPr>
        <w:t>–“</w:t>
      </w:r>
      <w:r>
        <w:rPr>
          <w:rFonts w:asciiTheme="minorHAnsi" w:hAnsiTheme="minorHAnsi" w:cs="Arial"/>
          <w:b/>
          <w:i/>
          <w:lang w:val="en-ZA"/>
        </w:rPr>
        <w:t>FRC299</w:t>
      </w:r>
      <w:r w:rsidRPr="00F64748">
        <w:rPr>
          <w:rFonts w:asciiTheme="minorHAnsi" w:hAnsiTheme="minorHAnsi" w:cs="Arial"/>
          <w:b/>
          <w:i/>
          <w:lang w:val="en-ZA"/>
        </w:rPr>
        <w:t>”)</w:t>
      </w:r>
    </w:p>
    <w:p w:rsidR="007F4679" w:rsidRPr="00F64748" w:rsidRDefault="007F4679" w:rsidP="007F4679">
      <w:pPr>
        <w:suppressAutoHyphens/>
        <w:spacing w:line="312" w:lineRule="auto"/>
        <w:ind w:right="-425"/>
        <w:jc w:val="both"/>
        <w:rPr>
          <w:rFonts w:asciiTheme="minorHAnsi" w:hAnsiTheme="minorHAnsi" w:cs="Arial"/>
          <w:b/>
          <w:i/>
          <w:lang w:val="en-ZA"/>
        </w:rPr>
      </w:pPr>
    </w:p>
    <w:p w:rsidR="00EC2FDE" w:rsidRDefault="007F4679" w:rsidP="00EC2FDE">
      <w:pPr>
        <w:suppressAutoHyphens/>
        <w:spacing w:line="312" w:lineRule="auto"/>
        <w:jc w:val="both"/>
      </w:pPr>
      <w:r w:rsidRPr="00F64748">
        <w:rPr>
          <w:rFonts w:asciiTheme="minorHAnsi" w:hAnsiTheme="minorHAnsi" w:cs="Arial"/>
          <w:lang w:val="en-ZA"/>
        </w:rPr>
        <w:t>====================================================</w:t>
      </w:r>
      <w:r w:rsidR="00EC2FDE" w:rsidRPr="00EC2FDE">
        <w:t xml:space="preserve"> </w:t>
      </w:r>
    </w:p>
    <w:p w:rsidR="00B83EAD" w:rsidRDefault="00B83EAD" w:rsidP="00EC2FDE">
      <w:pPr>
        <w:suppressAutoHyphens/>
        <w:spacing w:line="312" w:lineRule="auto"/>
        <w:jc w:val="both"/>
        <w:rPr>
          <w:rFonts w:asciiTheme="minorHAnsi" w:hAnsiTheme="minorHAnsi" w:cs="Arial"/>
          <w:lang w:val="en-ZA"/>
        </w:rPr>
      </w:pPr>
    </w:p>
    <w:p w:rsidR="00B83EAD" w:rsidRDefault="00B83EAD" w:rsidP="00EC2FDE">
      <w:pPr>
        <w:suppressAutoHyphens/>
        <w:spacing w:line="312" w:lineRule="auto"/>
        <w:jc w:val="both"/>
        <w:rPr>
          <w:rFonts w:asciiTheme="minorHAnsi" w:hAnsiTheme="minorHAnsi" w:cs="Arial"/>
          <w:lang w:val="en-ZA"/>
        </w:rPr>
      </w:pP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The portion of the FRC299, FRC322 and FRC323 notes to be written down will be cash settled, through Strate, with the amount of cash payable to investors announced on SENS in due course. The record date in respect of the credit event will be 30 March 2020, with a pay date of 06 April 2020.</w:t>
      </w: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The terms and conditions of the FRC299, FRC322 and FRC323 notes will not be affected however, the following amendments to the applicable pricing supplement will be made as a result of the credit event:</w:t>
      </w: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1. to remove Dean Foods Co, as a constituent of the underlying reference index &amp; to update the weightings - the Markit CDX North America High Yield Index, from Annexure 2;</w:t>
      </w: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2. the Aggregate Nominal Amount in paragraph 7(a) of the applicable pricing supplement will be amended to:</w:t>
      </w: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a. For FRC299, ZAR97,000,000.00;</w:t>
      </w: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b. For FRC322, ZAR196,000,000;</w:t>
      </w: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c. For FRC323, ZAR63,700,000; and</w:t>
      </w: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3. the Number of Notes in paragraph 9 of the applicable pricing supplement will be amended to:</w:t>
      </w: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a. For FRC299, 97;</w:t>
      </w:r>
    </w:p>
    <w:p w:rsidR="00EC2FDE" w:rsidRP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b. For FRC322, 196;</w:t>
      </w:r>
    </w:p>
    <w:p w:rsidR="00EC2FDE" w:rsidRDefault="00EC2FDE" w:rsidP="00EC2FDE">
      <w:pPr>
        <w:suppressAutoHyphens/>
        <w:spacing w:line="312" w:lineRule="auto"/>
        <w:jc w:val="both"/>
        <w:rPr>
          <w:rFonts w:asciiTheme="minorHAnsi" w:hAnsiTheme="minorHAnsi" w:cs="Arial"/>
          <w:lang w:val="en-ZA"/>
        </w:rPr>
      </w:pPr>
      <w:r w:rsidRPr="00EC2FDE">
        <w:rPr>
          <w:rFonts w:asciiTheme="minorHAnsi" w:hAnsiTheme="minorHAnsi" w:cs="Arial"/>
          <w:lang w:val="en-ZA"/>
        </w:rPr>
        <w:t>c. For FRC323, 63,7.</w:t>
      </w:r>
    </w:p>
    <w:p w:rsidR="007F4679" w:rsidRPr="00F64748" w:rsidRDefault="007F4679" w:rsidP="007F4679">
      <w:pPr>
        <w:suppressAutoHyphens/>
        <w:spacing w:line="288" w:lineRule="auto"/>
        <w:ind w:right="29"/>
        <w:jc w:val="both"/>
        <w:rPr>
          <w:rFonts w:asciiTheme="minorHAnsi" w:hAnsiTheme="minorHAnsi" w:cs="Arial"/>
          <w:lang w:val="en-ZA"/>
        </w:rPr>
      </w:pP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sidR="003C62DA">
        <w:rPr>
          <w:rFonts w:asciiTheme="minorHAnsi" w:hAnsiTheme="minorHAnsi" w:cs="Arial"/>
          <w:b/>
          <w:lang w:val="en-ZA"/>
        </w:rPr>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FRC299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001B111B" w:rsidRPr="00EC2FDE">
        <w:rPr>
          <w:rFonts w:asciiTheme="minorHAnsi" w:hAnsiTheme="minorHAnsi" w:cs="Arial"/>
          <w:highlight w:val="green"/>
          <w:lang w:val="en-ZA"/>
        </w:rPr>
        <w:tab/>
      </w:r>
      <w:r w:rsidRPr="00EC2FDE">
        <w:rPr>
          <w:rFonts w:asciiTheme="minorHAnsi" w:hAnsiTheme="minorHAnsi" w:cs="Arial"/>
          <w:highlight w:val="green"/>
          <w:lang w:val="en-ZA"/>
        </w:rPr>
        <w:t>R</w:t>
      </w:r>
      <w:r w:rsidR="00356F69" w:rsidRPr="00EC2FDE">
        <w:rPr>
          <w:rFonts w:asciiTheme="minorHAnsi" w:hAnsiTheme="minorHAnsi" w:cs="Arial"/>
          <w:highlight w:val="green"/>
          <w:lang w:val="en-ZA"/>
        </w:rPr>
        <w:t xml:space="preserve"> </w:t>
      </w:r>
      <w:r w:rsidR="00166E80" w:rsidRPr="00EC2FDE">
        <w:rPr>
          <w:rFonts w:asciiTheme="minorHAnsi" w:hAnsiTheme="minorHAnsi" w:cs="Arial"/>
          <w:highlight w:val="green"/>
          <w:lang w:val="en-ZA"/>
        </w:rPr>
        <w:t>97</w:t>
      </w:r>
      <w:r w:rsidRPr="00EC2FDE">
        <w:rPr>
          <w:rFonts w:asciiTheme="minorHAnsi" w:hAnsiTheme="minorHAnsi" w:cs="Arial"/>
          <w:highlight w:val="green"/>
          <w:lang w:val="en-ZA"/>
        </w:rPr>
        <w:t>,000,000.00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D40E91" w:rsidRPr="00D40E91">
        <w:rPr>
          <w:rFonts w:asciiTheme="minorHAnsi" w:hAnsiTheme="minorHAnsi" w:cs="Arial"/>
          <w:lang w:val="en-ZA"/>
        </w:rPr>
        <w:t>10.858</w:t>
      </w:r>
      <w:r w:rsidR="00D40E91">
        <w:rPr>
          <w:rFonts w:asciiTheme="minorHAnsi" w:hAnsiTheme="minorHAnsi" w:cs="Arial"/>
          <w:lang w:val="en-ZA"/>
        </w:rPr>
        <w:t xml:space="preserve">% </w:t>
      </w:r>
      <w:r>
        <w:rPr>
          <w:rFonts w:asciiTheme="minorHAnsi" w:hAnsiTheme="minorHAnsi" w:cs="Arial"/>
          <w:lang w:val="en-ZA"/>
        </w:rPr>
        <w:t xml:space="preserve">(3 Month JIBAR as at </w:t>
      </w:r>
      <w:r w:rsidR="00356F69">
        <w:rPr>
          <w:rFonts w:asciiTheme="minorHAnsi" w:hAnsiTheme="minorHAnsi" w:cs="Arial"/>
          <w:lang w:val="en-ZA"/>
        </w:rPr>
        <w:t>21 May</w:t>
      </w:r>
      <w:r>
        <w:rPr>
          <w:rFonts w:asciiTheme="minorHAnsi" w:hAnsiTheme="minorHAnsi" w:cs="Arial"/>
          <w:lang w:val="en-ZA"/>
        </w:rPr>
        <w:t xml:space="preserve"> </w:t>
      </w:r>
      <w:r w:rsidR="00356F69">
        <w:rPr>
          <w:rFonts w:asciiTheme="minorHAnsi" w:hAnsiTheme="minorHAnsi" w:cs="Arial"/>
          <w:lang w:val="en-ZA"/>
        </w:rPr>
        <w:t>2019</w:t>
      </w:r>
      <w:r>
        <w:rPr>
          <w:rFonts w:asciiTheme="minorHAnsi" w:hAnsiTheme="minorHAnsi" w:cs="Arial"/>
          <w:lang w:val="en-ZA"/>
        </w:rPr>
        <w:t xml:space="preserve"> of </w:t>
      </w:r>
      <w:r w:rsidR="00D40E91">
        <w:rPr>
          <w:rFonts w:asciiTheme="minorHAnsi" w:hAnsiTheme="minorHAnsi" w:cs="Arial"/>
          <w:lang w:val="en-ZA"/>
        </w:rPr>
        <w:t>7.158</w:t>
      </w:r>
      <w:r>
        <w:rPr>
          <w:rFonts w:asciiTheme="minorHAnsi" w:hAnsiTheme="minorHAnsi" w:cs="Arial"/>
          <w:lang w:val="en-ZA"/>
        </w:rPr>
        <w:t xml:space="preserve">% plus </w:t>
      </w:r>
      <w:r w:rsidR="00356F69">
        <w:rPr>
          <w:rFonts w:asciiTheme="minorHAnsi" w:hAnsiTheme="minorHAnsi" w:cs="Arial"/>
          <w:lang w:val="en-ZA"/>
        </w:rPr>
        <w:t>37</w:t>
      </w:r>
      <w:r>
        <w:rPr>
          <w:rFonts w:asciiTheme="minorHAnsi" w:hAnsiTheme="minorHAnsi" w:cs="Arial"/>
          <w:lang w:val="en-ZA"/>
        </w:rPr>
        <w:t>0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356F69">
        <w:rPr>
          <w:rFonts w:asciiTheme="minorHAnsi" w:hAnsiTheme="minorHAnsi" w:cs="Arial"/>
          <w:b/>
          <w:lang w:val="en-ZA"/>
        </w:rPr>
        <w:t xml:space="preserve"> Dates</w:t>
      </w:r>
      <w:r w:rsidR="003C62DA">
        <w:rPr>
          <w:rFonts w:asciiTheme="minorHAnsi" w:hAnsiTheme="minorHAnsi" w:cs="Arial"/>
          <w:b/>
          <w:lang w:val="en-ZA"/>
        </w:rPr>
        <w:t>(s)</w:t>
      </w:r>
      <w:r w:rsidRPr="00F64748">
        <w:rPr>
          <w:rFonts w:asciiTheme="minorHAnsi" w:hAnsiTheme="minorHAnsi" w:cs="Arial"/>
          <w:b/>
          <w:lang w:val="en-ZA"/>
        </w:rPr>
        <w:tab/>
      </w:r>
      <w:r>
        <w:rPr>
          <w:rFonts w:asciiTheme="minorHAnsi" w:hAnsiTheme="minorHAnsi" w:cs="Arial"/>
          <w:lang w:val="en-ZA"/>
        </w:rPr>
        <w:t>16 March, 16 June, 16 September, 16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15 March, 15 June, 15 September, 15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t>Issue Date</w:t>
      </w:r>
      <w:r w:rsidRPr="00EC2FDE">
        <w:rPr>
          <w:rFonts w:asciiTheme="minorHAnsi" w:hAnsiTheme="minorHAnsi" w:cs="Arial"/>
          <w:b/>
          <w:highlight w:val="green"/>
          <w:lang w:val="en-ZA"/>
        </w:rPr>
        <w:tab/>
      </w:r>
      <w:r w:rsidR="00EC2FDE" w:rsidRPr="00EC2FDE">
        <w:rPr>
          <w:rFonts w:asciiTheme="minorHAnsi" w:hAnsiTheme="minorHAnsi" w:cs="Arial"/>
          <w:highlight w:val="green"/>
          <w:lang w:val="en-ZA"/>
        </w:rPr>
        <w:t>06 April</w:t>
      </w:r>
      <w:r w:rsidRPr="00EC2FDE">
        <w:rPr>
          <w:rFonts w:asciiTheme="minorHAnsi" w:hAnsiTheme="minorHAnsi" w:cs="Arial"/>
          <w:highlight w:val="green"/>
          <w:lang w:val="en-ZA"/>
        </w:rPr>
        <w:t xml:space="preserve"> 20</w:t>
      </w:r>
      <w:r w:rsidR="00EC2FDE" w:rsidRPr="00EC2FDE">
        <w:rPr>
          <w:rFonts w:asciiTheme="minorHAnsi" w:hAnsiTheme="minorHAnsi" w:cs="Arial"/>
          <w:highlight w:val="green"/>
          <w:lang w:val="en-ZA"/>
        </w:rPr>
        <w:t>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lastRenderedPageBreak/>
        <w:t>Date Convention</w:t>
      </w:r>
      <w:r w:rsidRPr="00F64748">
        <w:rPr>
          <w:rFonts w:asciiTheme="minorHAnsi" w:hAnsiTheme="minorHAnsi"/>
          <w:b/>
          <w:lang w:val="en-ZA"/>
        </w:rPr>
        <w:tab/>
      </w:r>
      <w:r>
        <w:rPr>
          <w:rFonts w:asciiTheme="minorHAnsi" w:hAnsiTheme="minorHAnsi"/>
          <w:lang w:val="en-ZA"/>
        </w:rPr>
        <w:t>Modified 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21 May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June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ZAG000159575</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166E80" w:rsidRPr="00F64748" w:rsidRDefault="00166E80" w:rsidP="00166E80">
      <w:pPr>
        <w:suppressAutoHyphens/>
        <w:spacing w:line="312" w:lineRule="auto"/>
        <w:jc w:val="both"/>
        <w:rPr>
          <w:rFonts w:asciiTheme="minorHAnsi" w:hAnsiTheme="minorHAnsi" w:cs="Arial"/>
          <w:lang w:val="en-ZA"/>
        </w:rPr>
      </w:pPr>
    </w:p>
    <w:p w:rsidR="00166E80" w:rsidRPr="00F64748" w:rsidRDefault="00166E80" w:rsidP="00166E80">
      <w:pPr>
        <w:suppressAutoHyphens/>
        <w:spacing w:line="288" w:lineRule="auto"/>
        <w:ind w:right="29"/>
        <w:jc w:val="both"/>
        <w:rPr>
          <w:rFonts w:asciiTheme="minorHAnsi" w:hAnsiTheme="minorHAnsi" w:cs="Arial"/>
          <w:lang w:val="en-ZA"/>
        </w:rPr>
      </w:pPr>
      <w:r w:rsidRPr="00F64748">
        <w:rPr>
          <w:rFonts w:asciiTheme="minorHAnsi" w:hAnsiTheme="minorHAnsi" w:cs="Arial"/>
          <w:b/>
          <w:lang w:val="en-ZA"/>
        </w:rPr>
        <w:t xml:space="preserve"> </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FRC322</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166E80">
        <w:rPr>
          <w:rFonts w:asciiTheme="minorHAnsi" w:hAnsiTheme="minorHAnsi" w:cs="Arial"/>
          <w:b/>
          <w:bCs/>
          <w:highlight w:val="green"/>
          <w:lang w:val="en-ZA"/>
        </w:rPr>
        <w:t>Nominal Issued</w:t>
      </w:r>
      <w:r w:rsidRPr="00166E80">
        <w:rPr>
          <w:rFonts w:asciiTheme="minorHAnsi" w:hAnsiTheme="minorHAnsi" w:cs="Arial"/>
          <w:highlight w:val="green"/>
          <w:lang w:val="en-ZA"/>
        </w:rPr>
        <w:tab/>
        <w:t>R 196,000,000.00</w:t>
      </w:r>
    </w:p>
    <w:p w:rsidR="00166E80" w:rsidRPr="00EC2FDE"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lang w:val="en-ZA"/>
        </w:rPr>
        <w:t>Issue Price</w:t>
      </w:r>
      <w:r w:rsidRPr="00EC2FDE">
        <w:rPr>
          <w:rFonts w:asciiTheme="minorHAnsi" w:hAnsiTheme="minorHAnsi" w:cs="Arial"/>
          <w:lang w:val="en-ZA"/>
        </w:rPr>
        <w:tab/>
        <w:t>100%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lang w:val="en-ZA"/>
        </w:rPr>
        <w:t>Coupon</w:t>
      </w:r>
      <w:r w:rsidRPr="00EC2FDE">
        <w:rPr>
          <w:rFonts w:asciiTheme="minorHAnsi" w:hAnsiTheme="minorHAnsi" w:cs="Arial"/>
          <w:b/>
          <w:lang w:val="en-ZA"/>
        </w:rPr>
        <w:tab/>
      </w:r>
      <w:r w:rsidRPr="00EC2FDE">
        <w:rPr>
          <w:rFonts w:asciiTheme="minorHAnsi" w:hAnsiTheme="minorHAnsi" w:cs="Arial"/>
          <w:lang w:val="en-ZA"/>
        </w:rPr>
        <w:t>11.263% (3 Month JIBAR as at 25 October 2019 of 6.783% plus 448 bps)</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166E80" w:rsidRPr="00F64748" w:rsidRDefault="00166E80" w:rsidP="00166E80">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16 March, 16 June, 16 September, 16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6870E0">
        <w:rPr>
          <w:rFonts w:asciiTheme="minorHAnsi" w:hAnsiTheme="minorHAnsi" w:cs="Arial"/>
          <w:b/>
          <w:highlight w:val="green"/>
          <w:lang w:val="en-ZA"/>
        </w:rPr>
        <w:t>Issue Date</w:t>
      </w:r>
      <w:r w:rsidRPr="006870E0">
        <w:rPr>
          <w:rFonts w:asciiTheme="minorHAnsi" w:hAnsiTheme="minorHAnsi" w:cs="Arial"/>
          <w:b/>
          <w:highlight w:val="green"/>
          <w:lang w:val="en-ZA"/>
        </w:rPr>
        <w:tab/>
      </w:r>
      <w:r w:rsidRPr="00166E80">
        <w:rPr>
          <w:rFonts w:asciiTheme="minorHAnsi" w:hAnsiTheme="minorHAnsi" w:cs="Arial"/>
          <w:highlight w:val="green"/>
          <w:lang w:val="en-ZA"/>
        </w:rPr>
        <w:t>06 April 2020</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25 October 2019</w:t>
      </w:r>
    </w:p>
    <w:p w:rsidR="00166E80" w:rsidRPr="00F64748" w:rsidRDefault="00166E80" w:rsidP="00166E80">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December 2019</w:t>
      </w:r>
    </w:p>
    <w:p w:rsidR="00166E80"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ZAG000163783</w:t>
      </w:r>
    </w:p>
    <w:p w:rsidR="00166E80" w:rsidRDefault="00166E80" w:rsidP="00166E80">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166E80" w:rsidRDefault="00166E80" w:rsidP="00166E80">
      <w:pPr>
        <w:spacing w:line="288" w:lineRule="auto"/>
        <w:ind w:left="3544" w:right="29" w:hanging="3544"/>
        <w:jc w:val="both"/>
        <w:rPr>
          <w:rFonts w:asciiTheme="minorHAnsi" w:hAnsiTheme="minorHAnsi" w:cs="Arial"/>
          <w:b/>
          <w:lang w:val="en-ZA"/>
        </w:rPr>
      </w:pPr>
      <w:r>
        <w:rPr>
          <w:rFonts w:asciiTheme="minorHAnsi" w:hAnsiTheme="minorHAnsi" w:cs="Arial"/>
          <w:b/>
          <w:lang w:val="en-ZA"/>
        </w:rPr>
        <w:tab/>
      </w:r>
    </w:p>
    <w:p w:rsidR="00166E80" w:rsidRPr="00F64748" w:rsidRDefault="00166E80" w:rsidP="00166E80">
      <w:pPr>
        <w:pStyle w:val="BodyText"/>
        <w:spacing w:before="20" w:after="20" w:line="312" w:lineRule="auto"/>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FRC323</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Pr="00EC2FDE">
        <w:rPr>
          <w:rFonts w:asciiTheme="minorHAnsi" w:hAnsiTheme="minorHAnsi" w:cs="Arial"/>
          <w:highlight w:val="green"/>
          <w:lang w:val="en-ZA"/>
        </w:rPr>
        <w:tab/>
        <w:t>R 63,700,000.00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166E80">
        <w:rPr>
          <w:rFonts w:asciiTheme="minorHAnsi" w:hAnsiTheme="minorHAnsi" w:cs="Arial"/>
          <w:b/>
          <w:lang w:val="en-ZA"/>
        </w:rPr>
        <w:t>Coupon</w:t>
      </w:r>
      <w:r w:rsidRPr="00166E80">
        <w:rPr>
          <w:rFonts w:asciiTheme="minorHAnsi" w:hAnsiTheme="minorHAnsi" w:cs="Arial"/>
          <w:b/>
          <w:lang w:val="en-ZA"/>
        </w:rPr>
        <w:tab/>
      </w:r>
      <w:r w:rsidRPr="00166E80">
        <w:rPr>
          <w:rFonts w:asciiTheme="minorHAnsi" w:hAnsiTheme="minorHAnsi" w:cs="Arial"/>
          <w:lang w:val="en-ZA"/>
        </w:rPr>
        <w:t>10.152% (3 Month JIBAR as at 29 October 2019 of 6.792% plus 336 bps)</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166E80" w:rsidRPr="00F64748" w:rsidRDefault="00166E80" w:rsidP="00166E80">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16 March, 16 June, 16 September, 16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t>Issue Date</w:t>
      </w:r>
      <w:r w:rsidRPr="00EC2FDE">
        <w:rPr>
          <w:rFonts w:asciiTheme="minorHAnsi" w:hAnsiTheme="minorHAnsi" w:cs="Arial"/>
          <w:b/>
          <w:highlight w:val="green"/>
          <w:lang w:val="en-ZA"/>
        </w:rPr>
        <w:tab/>
        <w:t>06 April 2020</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October 2019</w:t>
      </w:r>
    </w:p>
    <w:p w:rsidR="00166E80" w:rsidRPr="00F64748" w:rsidRDefault="00166E80" w:rsidP="00166E80">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December 2019</w:t>
      </w:r>
    </w:p>
    <w:p w:rsidR="00166E80"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ZAG000163874</w:t>
      </w:r>
    </w:p>
    <w:p w:rsidR="00166E80" w:rsidRPr="00F64748" w:rsidRDefault="00166E80" w:rsidP="00B83EAD">
      <w:pPr>
        <w:spacing w:line="288" w:lineRule="auto"/>
        <w:ind w:left="3544" w:right="29" w:hanging="3544"/>
        <w:jc w:val="both"/>
        <w:rPr>
          <w:rFonts w:asciiTheme="minorHAnsi" w:hAnsiTheme="minorHAnsi" w:cs="Arial"/>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bookmarkStart w:id="0" w:name="_GoBack"/>
      <w:bookmarkEnd w:id="0"/>
    </w:p>
    <w:p w:rsidR="00356F69" w:rsidRPr="00F64748" w:rsidRDefault="00356F69" w:rsidP="00356F69">
      <w:pPr>
        <w:pStyle w:val="BodyText"/>
        <w:spacing w:before="20" w:after="20" w:line="312" w:lineRule="auto"/>
        <w:rPr>
          <w:rFonts w:asciiTheme="minorHAnsi" w:hAnsiTheme="minorHAnsi" w:cs="Arial"/>
          <w:lang w:val="en-ZA"/>
        </w:rPr>
      </w:pPr>
    </w:p>
    <w:sectPr w:rsidR="00356F69"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B83EAD">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B83EAD">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B83EAD"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B83EAD"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441"/>
    <w:rsid w:val="000C3E3E"/>
    <w:rsid w:val="000C3FA0"/>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66E80"/>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56F69"/>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DA"/>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3EAD"/>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40E91"/>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2E8F"/>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2FDE"/>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71557D5"/>
  <w15:docId w15:val="{94510557-4C60-40C6-8F07-38EDBAB0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2020-05-11T16:00:00+00:00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99085D7A-20F4-4376-B1F4-43C7C4F3DC09}">
  <ds:schemaRefs>
    <ds:schemaRef ds:uri="http://schemas.openxmlformats.org/officeDocument/2006/bibliography"/>
  </ds:schemaRefs>
</ds:datastoreItem>
</file>

<file path=customXml/itemProps2.xml><?xml version="1.0" encoding="utf-8"?>
<ds:datastoreItem xmlns:ds="http://schemas.openxmlformats.org/officeDocument/2006/customXml" ds:itemID="{941B561A-9981-4761-9277-0E8BD2F0AC5D}"/>
</file>

<file path=customXml/itemProps3.xml><?xml version="1.0" encoding="utf-8"?>
<ds:datastoreItem xmlns:ds="http://schemas.openxmlformats.org/officeDocument/2006/customXml" ds:itemID="{3AB26E86-3C64-4DCC-A611-012084F798E5}"/>
</file>

<file path=customXml/itemProps4.xml><?xml version="1.0" encoding="utf-8"?>
<ds:datastoreItem xmlns:ds="http://schemas.openxmlformats.org/officeDocument/2006/customXml" ds:itemID="{041A4904-9EDA-4A5C-8A74-9F2239726C21}"/>
</file>

<file path=docProps/app.xml><?xml version="1.0" encoding="utf-8"?>
<Properties xmlns="http://schemas.openxmlformats.org/officeDocument/2006/extended-properties" xmlns:vt="http://schemas.openxmlformats.org/officeDocument/2006/docPropsVTypes">
  <Template>Normal</Template>
  <TotalTime>66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3510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47</cp:revision>
  <cp:lastPrinted>2012-01-03T09:35:00Z</cp:lastPrinted>
  <dcterms:created xsi:type="dcterms:W3CDTF">2012-03-13T10:41:00Z</dcterms:created>
  <dcterms:modified xsi:type="dcterms:W3CDTF">2020-04-03T09:15:00Z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175900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